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55CD" w:rsidRDefault="009755CD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755CD" w:rsidRDefault="009755CD" w:rsidP="009755CD">
      <w:pPr>
        <w:pStyle w:val="Normal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33A2">
        <w:rPr>
          <w:rFonts w:ascii="Times New Roman" w:eastAsia="Times New Roman" w:hAnsi="Times New Roman" w:cs="Times New Roman"/>
          <w:b/>
          <w:sz w:val="28"/>
          <w:szCs w:val="28"/>
        </w:rPr>
        <w:t>Volunteer Program Focus Area and Performance Measures</w:t>
      </w:r>
    </w:p>
    <w:p w:rsidR="009755CD" w:rsidRPr="009755CD" w:rsidRDefault="009755CD" w:rsidP="009755CD">
      <w:pPr>
        <w:pStyle w:val="Normal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Please submit with Volunteer Maryland Service Site Application</w:t>
      </w:r>
    </w:p>
    <w:p w:rsidR="009755CD" w:rsidRDefault="009755CD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:rsidR="009755CD" w:rsidRDefault="009755CD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:rsidR="00BA50AF" w:rsidRPr="00BA50AF" w:rsidRDefault="00BA50AF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  <w:r w:rsidRPr="00BA50AF">
        <w:rPr>
          <w:rFonts w:ascii="Times New Roman" w:eastAsia="Times New Roman" w:hAnsi="Times New Roman" w:cs="Times New Roman"/>
          <w:sz w:val="28"/>
          <w:szCs w:val="28"/>
        </w:rPr>
        <w:t xml:space="preserve">Site name: </w:t>
      </w:r>
    </w:p>
    <w:p w:rsidR="00BA50AF" w:rsidRPr="00BA50AF" w:rsidRDefault="00BA50AF">
      <w:pPr>
        <w:pStyle w:val="Normal1"/>
        <w:rPr>
          <w:rFonts w:ascii="Times New Roman" w:eastAsia="Times New Roman" w:hAnsi="Times New Roman" w:cs="Times New Roman"/>
          <w:sz w:val="28"/>
          <w:szCs w:val="28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BA50AF">
        <w:rPr>
          <w:rFonts w:ascii="Times New Roman" w:eastAsia="Times New Roman" w:hAnsi="Times New Roman" w:cs="Times New Roman"/>
          <w:sz w:val="28"/>
          <w:szCs w:val="28"/>
        </w:rPr>
        <w:t>Focus Area: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3BA" w:rsidRPr="002E33A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263BA" w:rsidRPr="002E33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A50AF" w:rsidRDefault="00BA50AF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Each Volunteer Maryland Service Site must address </w:t>
      </w:r>
      <w:r w:rsidR="002E33A2">
        <w:rPr>
          <w:rFonts w:ascii="Times New Roman" w:eastAsia="Times New Roman" w:hAnsi="Times New Roman" w:cs="Times New Roman"/>
          <w:sz w:val="24"/>
          <w:szCs w:val="24"/>
        </w:rPr>
        <w:t>at least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AmeriCorps </w:t>
      </w:r>
      <w:hyperlink r:id="rId7" w:history="1">
        <w:r w:rsidRPr="002E33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focus areas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(disaster services, economic opportunity, education, environmental stewardship, healthy futures, and veterans and military families). Though the proposed volunteer program may work across multiple issues, provide a variety of services, and/or serve a number of different client groups, volunteer activity must work toward at least one of the focus area performance measures below. 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00D" w:rsidRDefault="002E33A2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>Select the focus area and performance measure</w:t>
      </w:r>
      <w:r w:rsidR="00C263BA">
        <w:rPr>
          <w:rFonts w:ascii="Times New Roman" w:eastAsia="Times New Roman" w:hAnsi="Times New Roman" w:cs="Times New Roman"/>
          <w:sz w:val="24"/>
          <w:szCs w:val="24"/>
        </w:rPr>
        <w:t xml:space="preserve"> that your age</w:t>
      </w:r>
      <w:r>
        <w:rPr>
          <w:rFonts w:ascii="Times New Roman" w:eastAsia="Times New Roman" w:hAnsi="Times New Roman" w:cs="Times New Roman"/>
          <w:sz w:val="24"/>
          <w:szCs w:val="24"/>
        </w:rPr>
        <w:t>ncy’s volunteer program will best be able to measure,</w:t>
      </w:r>
      <w:r w:rsidR="00C263B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263BA">
        <w:rPr>
          <w:rFonts w:ascii="Times New Roman" w:eastAsia="Times New Roman" w:hAnsi="Times New Roman" w:cs="Times New Roman"/>
          <w:b/>
          <w:i/>
          <w:sz w:val="24"/>
          <w:szCs w:val="24"/>
        </w:rPr>
        <w:t>fill in the sections for anticipated number and measurement tool</w:t>
      </w:r>
      <w:r w:rsidR="00C263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note that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outputs and outcomes that are provided may not be altered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language specified in the performance measures.  You must determine the anticipated number and</w:t>
      </w:r>
      <w:r w:rsidR="002E33A2">
        <w:rPr>
          <w:rFonts w:ascii="Times New Roman" w:eastAsia="Times New Roman" w:hAnsi="Times New Roman" w:cs="Times New Roman"/>
          <w:sz w:val="24"/>
          <w:szCs w:val="24"/>
        </w:rPr>
        <w:t xml:space="preserve"> the measurement tool. </w:t>
      </w:r>
      <w:r>
        <w:rPr>
          <w:rFonts w:ascii="Times New Roman" w:eastAsia="Times New Roman" w:hAnsi="Times New Roman" w:cs="Times New Roman"/>
          <w:sz w:val="24"/>
          <w:szCs w:val="24"/>
        </w:rPr>
        <w:t>If the outcome is to be developed by the Service Site, please include an outcome that aligns with the output that is provided.</w:t>
      </w:r>
    </w:p>
    <w:p w:rsidR="00EA5FD3" w:rsidRDefault="00EA5FD3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Focus Area: Economic Opportunity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#1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economically disadvantaged individuals, including homeless individuals, receiving housing services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economically disadvantaged individuals, including homeless individuals, transitioned into safe, healthy, affordable housing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30A0" w:rsidRDefault="009E30A0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#2</w:t>
      </w:r>
    </w:p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economically disadvantaged individuals receiving financial literacy services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economically disadvantaged individuals with improved financial knowledge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600D" w:rsidRDefault="0040600D">
      <w:pPr>
        <w:pStyle w:val="Normal1"/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Focus Area: Education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5085"/>
      </w:tblGrid>
      <w:tr w:rsidR="0040600D">
        <w:tc>
          <w:tcPr>
            <w:tcW w:w="42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84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stude</w:t>
            </w:r>
            <w:r w:rsidR="00EF450B">
              <w:rPr>
                <w:rFonts w:ascii="Times New Roman" w:eastAsia="Times New Roman" w:hAnsi="Times New Roman" w:cs="Times New Roman"/>
                <w:sz w:val="24"/>
                <w:szCs w:val="24"/>
              </w:rPr>
              <w:t>nts that participated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K-12 education programs (includes tutoring programs)</w:t>
            </w:r>
          </w:p>
        </w:tc>
      </w:tr>
      <w:tr w:rsidR="0040600D">
        <w:tc>
          <w:tcPr>
            <w:tcW w:w="4275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8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75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8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75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8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students in mentoring/tutoring program with improved academics</w:t>
            </w:r>
          </w:p>
        </w:tc>
      </w:tr>
      <w:tr w:rsidR="0040600D">
        <w:tc>
          <w:tcPr>
            <w:tcW w:w="4275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8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75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8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00D" w:rsidRDefault="0040600D">
      <w:pPr>
        <w:pStyle w:val="Normal1"/>
      </w:pPr>
    </w:p>
    <w:p w:rsidR="000077A5" w:rsidRDefault="000077A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7A5" w:rsidRDefault="000077A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7A5" w:rsidRDefault="000077A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7A5" w:rsidRDefault="000077A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7A5" w:rsidRDefault="000077A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7A5" w:rsidRDefault="000077A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7A5" w:rsidRDefault="000077A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7A5" w:rsidRDefault="000077A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7A5" w:rsidRDefault="000077A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7A5" w:rsidRDefault="000077A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Focus Area: Healthy Futures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#1:</w:t>
      </w:r>
    </w:p>
    <w:tbl>
      <w:tblPr>
        <w:tblStyle w:val="a3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homebound or older adults and individuals with disabilities receiving food, transportation, or other services that allow them to live independently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homebound or older adults and individuals with disabilities who reported having increased social ties/perceived social support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#2:</w:t>
      </w:r>
    </w:p>
    <w:tbl>
      <w:tblPr>
        <w:tblStyle w:val="a4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individuals receiving emergency food from food banks, food pantries, or other nonprofit organizations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individuals that reported increased food security of themselves and their children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30A0" w:rsidRDefault="009E30A0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30A0" w:rsidRDefault="009E30A0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30A0" w:rsidRDefault="009E30A0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30A0" w:rsidRDefault="009E30A0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E30A0" w:rsidRDefault="009E30A0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#3:</w:t>
      </w:r>
    </w:p>
    <w:tbl>
      <w:tblPr>
        <w:tblStyle w:val="a5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individuals receiving support, services, education, and/or referrals to alleviate long-term hunger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individuals that reported increased food security of themselves and their children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#4:</w:t>
      </w:r>
    </w:p>
    <w:tbl>
      <w:tblPr>
        <w:tblStyle w:val="a6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of individuals who are uninsured, economically disadvantaged, medically underserved, or living in rural areas utilizing preventive and primary health care services and programs.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Pr="002E33A2" w:rsidRDefault="002E33A2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(developed by Service Site)</w:t>
            </w:r>
            <w:r w:rsidR="00C263BA" w:rsidRPr="002E33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rPr>
          <w:trHeight w:val="520"/>
        </w:trPr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40600D">
      <w:pPr>
        <w:pStyle w:val="Normal1"/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#5:</w:t>
      </w:r>
    </w:p>
    <w:tbl>
      <w:tblPr>
        <w:tblStyle w:val="a7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of children and youth engaged in in-school or afterschool physical education activities with the purpose of reducing childhood obesity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Pr="002E33A2" w:rsidRDefault="002E33A2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(developed by Service Site)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40600D">
      <w:pPr>
        <w:pStyle w:val="Normal1"/>
      </w:pPr>
    </w:p>
    <w:p w:rsidR="0040600D" w:rsidRDefault="0040600D">
      <w:pPr>
        <w:pStyle w:val="Normal1"/>
      </w:pPr>
    </w:p>
    <w:p w:rsidR="0040600D" w:rsidRDefault="0040600D">
      <w:pPr>
        <w:pStyle w:val="Normal1"/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Focus Area: Environmental Stewardship </w:t>
      </w:r>
      <w:r>
        <w:rPr>
          <w:rFonts w:ascii="Times New Roman" w:eastAsia="Times New Roman" w:hAnsi="Times New Roman" w:cs="Times New Roman"/>
          <w:sz w:val="24"/>
          <w:szCs w:val="24"/>
        </w:rPr>
        <w:t>(Select and complete at least one of the following measures.)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#1:</w:t>
      </w:r>
    </w:p>
    <w:tbl>
      <w:tblPr>
        <w:tblStyle w:val="a8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acres of national parks, state parks, city parks, county parks, or other public and tribal lands that are treated.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of acres of national parks, state parks, city parks, county parks, or other public and tribal lands that are improved.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0600D" w:rsidRDefault="0040600D">
      <w:pPr>
        <w:pStyle w:val="Normal1"/>
      </w:pPr>
    </w:p>
    <w:p w:rsidR="0040600D" w:rsidRDefault="0040600D">
      <w:pPr>
        <w:pStyle w:val="Normal1"/>
      </w:pPr>
    </w:p>
    <w:p w:rsidR="0040600D" w:rsidRDefault="0040600D">
      <w:pPr>
        <w:pStyle w:val="Normal1"/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#2:</w:t>
      </w:r>
    </w:p>
    <w:tbl>
      <w:tblPr>
        <w:tblStyle w:val="a9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5085"/>
      </w:tblGrid>
      <w:tr w:rsidR="0040600D">
        <w:tc>
          <w:tcPr>
            <w:tcW w:w="4275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84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miles of trails or waterways (owned/maintained by national, state, county, city, or tribal governments) that are treated and/or constructed</w:t>
            </w:r>
            <w:r w:rsidR="00EF4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00D">
        <w:tc>
          <w:tcPr>
            <w:tcW w:w="4275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8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75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8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75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8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miles of trails or waterways (owned/maintained by national, state, county, city or tribal governments; nonprofits such as land conservancies when the land is for public use or the public good; public easements) that are improved, and/or put to use</w:t>
            </w:r>
            <w:r w:rsidR="00EF4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00D">
        <w:tc>
          <w:tcPr>
            <w:tcW w:w="4275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8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75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84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600D" w:rsidRDefault="0040600D">
      <w:pPr>
        <w:pStyle w:val="Normal1"/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#3:</w:t>
      </w:r>
    </w:p>
    <w:tbl>
      <w:tblPr>
        <w:tblStyle w:val="a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housing units of low-income households and public structures weatherized or retrofitted to improve energy efficiency</w:t>
            </w:r>
            <w:r w:rsidR="00EF4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weatherized or retrofitted low-income houses with reduced energy consumption or reduced</w:t>
            </w:r>
            <w:r w:rsidR="00EF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energy costs</w:t>
            </w:r>
            <w:r w:rsidR="00EF45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0600D" w:rsidRDefault="0040600D">
      <w:pPr>
        <w:pStyle w:val="Normal1"/>
      </w:pPr>
    </w:p>
    <w:p w:rsidR="0040600D" w:rsidRDefault="0040600D">
      <w:pPr>
        <w:pStyle w:val="Normal1"/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#4:</w:t>
      </w:r>
    </w:p>
    <w:tbl>
      <w:tblPr>
        <w:tblStyle w:val="ab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 w:rsidP="00EF450B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</w:t>
            </w:r>
            <w:r w:rsidR="00EF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individuals receiving education or training in environmental stewardship and/or environmentally-conscious practices.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# of individuals reporting a change in behavior or the intent to change behavior within one year in order to better protect the environment and/or reduce energy consumption as a result of the educational event or training they received.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40600D" w:rsidRDefault="0040600D">
      <w:pPr>
        <w:pStyle w:val="Normal1"/>
      </w:pPr>
    </w:p>
    <w:p w:rsidR="000077A5" w:rsidRDefault="000077A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7A5" w:rsidRDefault="000077A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7A5" w:rsidRDefault="000077A5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Focus Area: Disaster Services</w:t>
      </w:r>
    </w:p>
    <w:tbl>
      <w:tblPr>
        <w:tblStyle w:val="ac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individuals that received support in disaster preparedness, response, recovery, or mitigation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(developed by Service Site)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0600D" w:rsidRDefault="0040600D">
      <w:pPr>
        <w:pStyle w:val="Normal1"/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Focus Area: Veterans and Military Families </w:t>
      </w:r>
      <w:r>
        <w:rPr>
          <w:rFonts w:ascii="Times New Roman" w:eastAsia="Times New Roman" w:hAnsi="Times New Roman" w:cs="Times New Roman"/>
          <w:sz w:val="24"/>
          <w:szCs w:val="24"/>
        </w:rPr>
        <w:t>(Select and complete at least one of the three measures.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#1:</w:t>
      </w:r>
    </w:p>
    <w:tbl>
      <w:tblPr>
        <w:tblStyle w:val="ad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veterans that received assistance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(developed by Service Site)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50AF" w:rsidRDefault="00BA50AF">
      <w:pPr>
        <w:pStyle w:val="Normal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#2:</w:t>
      </w:r>
    </w:p>
    <w:tbl>
      <w:tblPr>
        <w:tblStyle w:val="ae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veterans’ family members that received assistance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(developed by Service Site)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600D" w:rsidRDefault="00C263BA">
      <w:pPr>
        <w:pStyle w:val="Normal1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Measure #3:</w:t>
      </w:r>
    </w:p>
    <w:tbl>
      <w:tblPr>
        <w:tblStyle w:val="af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5070"/>
      </w:tblGrid>
      <w:tr w:rsidR="0040600D">
        <w:tc>
          <w:tcPr>
            <w:tcW w:w="429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Output:</w:t>
            </w:r>
          </w:p>
        </w:tc>
        <w:tc>
          <w:tcPr>
            <w:tcW w:w="5069" w:type="dxa"/>
            <w:tcBorders>
              <w:top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of active duty military service members that received assistance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Intermediate Outcome: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(developed by Service Site)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Anticipated Number: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600D">
        <w:tc>
          <w:tcPr>
            <w:tcW w:w="4290" w:type="dxa"/>
            <w:tcBorders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Measurement Tool:</w:t>
            </w:r>
          </w:p>
        </w:tc>
        <w:tc>
          <w:tcPr>
            <w:tcW w:w="5069" w:type="dxa"/>
            <w:tcBorders>
              <w:bottom w:val="single" w:sz="8" w:space="0" w:color="A6A6A6"/>
              <w:right w:val="single" w:sz="8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600D" w:rsidRDefault="00C263BA">
            <w:pPr>
              <w:pStyle w:val="Normal1"/>
              <w:widowControl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0600D" w:rsidRDefault="0040600D">
      <w:pPr>
        <w:pStyle w:val="Normal1"/>
      </w:pPr>
    </w:p>
    <w:sectPr w:rsidR="0040600D" w:rsidSect="00406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9D" w:rsidRDefault="00552D9D" w:rsidP="00BA50AF">
      <w:pPr>
        <w:spacing w:line="240" w:lineRule="auto"/>
      </w:pPr>
      <w:r>
        <w:separator/>
      </w:r>
    </w:p>
  </w:endnote>
  <w:endnote w:type="continuationSeparator" w:id="0">
    <w:p w:rsidR="00552D9D" w:rsidRDefault="00552D9D" w:rsidP="00BA5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87" w:rsidRDefault="002F4C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507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E89" w:rsidRPr="002F4C87" w:rsidRDefault="00C74F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4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3E89" w:rsidRPr="002F4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F4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63C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F4C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E89" w:rsidRPr="00BA50AF" w:rsidRDefault="00263E89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87" w:rsidRDefault="002F4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9D" w:rsidRDefault="00552D9D" w:rsidP="00BA50AF">
      <w:pPr>
        <w:spacing w:line="240" w:lineRule="auto"/>
      </w:pPr>
      <w:r>
        <w:separator/>
      </w:r>
    </w:p>
  </w:footnote>
  <w:footnote w:type="continuationSeparator" w:id="0">
    <w:p w:rsidR="00552D9D" w:rsidRDefault="00552D9D" w:rsidP="00BA5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87" w:rsidRDefault="002F4C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87" w:rsidRDefault="002F4C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87" w:rsidRDefault="002F4C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0D"/>
    <w:rsid w:val="000077A5"/>
    <w:rsid w:val="00263E89"/>
    <w:rsid w:val="002E33A2"/>
    <w:rsid w:val="002F4C87"/>
    <w:rsid w:val="0031659C"/>
    <w:rsid w:val="0040600D"/>
    <w:rsid w:val="00526338"/>
    <w:rsid w:val="00527CFD"/>
    <w:rsid w:val="00552D9D"/>
    <w:rsid w:val="0070087B"/>
    <w:rsid w:val="008863CA"/>
    <w:rsid w:val="009755CD"/>
    <w:rsid w:val="009E30A0"/>
    <w:rsid w:val="00A25139"/>
    <w:rsid w:val="00B86DA2"/>
    <w:rsid w:val="00BA50AF"/>
    <w:rsid w:val="00C263BA"/>
    <w:rsid w:val="00C74FE9"/>
    <w:rsid w:val="00EA5FD3"/>
    <w:rsid w:val="00E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7B"/>
  </w:style>
  <w:style w:type="paragraph" w:styleId="Heading1">
    <w:name w:val="heading 1"/>
    <w:basedOn w:val="Normal1"/>
    <w:next w:val="Normal1"/>
    <w:rsid w:val="0040600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0600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0600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0600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0600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0600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600D"/>
  </w:style>
  <w:style w:type="paragraph" w:styleId="Title">
    <w:name w:val="Title"/>
    <w:basedOn w:val="Normal1"/>
    <w:next w:val="Normal1"/>
    <w:rsid w:val="0040600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40600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0600D"/>
    <w:tblPr>
      <w:tblStyleRowBandSize w:val="1"/>
      <w:tblStyleColBandSize w:val="1"/>
    </w:tblPr>
  </w:style>
  <w:style w:type="table" w:customStyle="1" w:styleId="a0">
    <w:basedOn w:val="TableNormal"/>
    <w:rsid w:val="0040600D"/>
    <w:tblPr>
      <w:tblStyleRowBandSize w:val="1"/>
      <w:tblStyleColBandSize w:val="1"/>
    </w:tblPr>
  </w:style>
  <w:style w:type="table" w:customStyle="1" w:styleId="a1">
    <w:basedOn w:val="TableNormal"/>
    <w:rsid w:val="0040600D"/>
    <w:tblPr>
      <w:tblStyleRowBandSize w:val="1"/>
      <w:tblStyleColBandSize w:val="1"/>
    </w:tblPr>
  </w:style>
  <w:style w:type="table" w:customStyle="1" w:styleId="a2">
    <w:basedOn w:val="TableNormal"/>
    <w:rsid w:val="0040600D"/>
    <w:tblPr>
      <w:tblStyleRowBandSize w:val="1"/>
      <w:tblStyleColBandSize w:val="1"/>
    </w:tblPr>
  </w:style>
  <w:style w:type="table" w:customStyle="1" w:styleId="a3">
    <w:basedOn w:val="TableNormal"/>
    <w:rsid w:val="0040600D"/>
    <w:tblPr>
      <w:tblStyleRowBandSize w:val="1"/>
      <w:tblStyleColBandSize w:val="1"/>
    </w:tblPr>
  </w:style>
  <w:style w:type="table" w:customStyle="1" w:styleId="a4">
    <w:basedOn w:val="TableNormal"/>
    <w:rsid w:val="0040600D"/>
    <w:tblPr>
      <w:tblStyleRowBandSize w:val="1"/>
      <w:tblStyleColBandSize w:val="1"/>
    </w:tblPr>
  </w:style>
  <w:style w:type="table" w:customStyle="1" w:styleId="a5">
    <w:basedOn w:val="TableNormal"/>
    <w:rsid w:val="0040600D"/>
    <w:tblPr>
      <w:tblStyleRowBandSize w:val="1"/>
      <w:tblStyleColBandSize w:val="1"/>
    </w:tblPr>
  </w:style>
  <w:style w:type="table" w:customStyle="1" w:styleId="a6">
    <w:basedOn w:val="TableNormal"/>
    <w:rsid w:val="0040600D"/>
    <w:tblPr>
      <w:tblStyleRowBandSize w:val="1"/>
      <w:tblStyleColBandSize w:val="1"/>
    </w:tblPr>
  </w:style>
  <w:style w:type="table" w:customStyle="1" w:styleId="a7">
    <w:basedOn w:val="TableNormal"/>
    <w:rsid w:val="0040600D"/>
    <w:tblPr>
      <w:tblStyleRowBandSize w:val="1"/>
      <w:tblStyleColBandSize w:val="1"/>
    </w:tblPr>
  </w:style>
  <w:style w:type="table" w:customStyle="1" w:styleId="a8">
    <w:basedOn w:val="TableNormal"/>
    <w:rsid w:val="0040600D"/>
    <w:tblPr>
      <w:tblStyleRowBandSize w:val="1"/>
      <w:tblStyleColBandSize w:val="1"/>
    </w:tblPr>
  </w:style>
  <w:style w:type="table" w:customStyle="1" w:styleId="a9">
    <w:basedOn w:val="TableNormal"/>
    <w:rsid w:val="0040600D"/>
    <w:tblPr>
      <w:tblStyleRowBandSize w:val="1"/>
      <w:tblStyleColBandSize w:val="1"/>
    </w:tblPr>
  </w:style>
  <w:style w:type="table" w:customStyle="1" w:styleId="aa">
    <w:basedOn w:val="TableNormal"/>
    <w:rsid w:val="0040600D"/>
    <w:tblPr>
      <w:tblStyleRowBandSize w:val="1"/>
      <w:tblStyleColBandSize w:val="1"/>
    </w:tblPr>
  </w:style>
  <w:style w:type="table" w:customStyle="1" w:styleId="ab">
    <w:basedOn w:val="TableNormal"/>
    <w:rsid w:val="0040600D"/>
    <w:tblPr>
      <w:tblStyleRowBandSize w:val="1"/>
      <w:tblStyleColBandSize w:val="1"/>
    </w:tblPr>
  </w:style>
  <w:style w:type="table" w:customStyle="1" w:styleId="ac">
    <w:basedOn w:val="TableNormal"/>
    <w:rsid w:val="0040600D"/>
    <w:tblPr>
      <w:tblStyleRowBandSize w:val="1"/>
      <w:tblStyleColBandSize w:val="1"/>
    </w:tblPr>
  </w:style>
  <w:style w:type="table" w:customStyle="1" w:styleId="ad">
    <w:basedOn w:val="TableNormal"/>
    <w:rsid w:val="0040600D"/>
    <w:tblPr>
      <w:tblStyleRowBandSize w:val="1"/>
      <w:tblStyleColBandSize w:val="1"/>
    </w:tblPr>
  </w:style>
  <w:style w:type="table" w:customStyle="1" w:styleId="ae">
    <w:basedOn w:val="TableNormal"/>
    <w:rsid w:val="0040600D"/>
    <w:tblPr>
      <w:tblStyleRowBandSize w:val="1"/>
      <w:tblStyleColBandSize w:val="1"/>
    </w:tblPr>
  </w:style>
  <w:style w:type="table" w:customStyle="1" w:styleId="af">
    <w:basedOn w:val="TableNormal"/>
    <w:rsid w:val="0040600D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E3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50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0AF"/>
  </w:style>
  <w:style w:type="paragraph" w:styleId="Footer">
    <w:name w:val="footer"/>
    <w:basedOn w:val="Normal"/>
    <w:link w:val="FooterChar"/>
    <w:uiPriority w:val="99"/>
    <w:unhideWhenUsed/>
    <w:rsid w:val="00BA50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87B"/>
  </w:style>
  <w:style w:type="paragraph" w:styleId="Heading1">
    <w:name w:val="heading 1"/>
    <w:basedOn w:val="Normal1"/>
    <w:next w:val="Normal1"/>
    <w:rsid w:val="0040600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0600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0600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0600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0600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0600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0600D"/>
  </w:style>
  <w:style w:type="paragraph" w:styleId="Title">
    <w:name w:val="Title"/>
    <w:basedOn w:val="Normal1"/>
    <w:next w:val="Normal1"/>
    <w:rsid w:val="0040600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40600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40600D"/>
    <w:tblPr>
      <w:tblStyleRowBandSize w:val="1"/>
      <w:tblStyleColBandSize w:val="1"/>
    </w:tblPr>
  </w:style>
  <w:style w:type="table" w:customStyle="1" w:styleId="a0">
    <w:basedOn w:val="TableNormal"/>
    <w:rsid w:val="0040600D"/>
    <w:tblPr>
      <w:tblStyleRowBandSize w:val="1"/>
      <w:tblStyleColBandSize w:val="1"/>
    </w:tblPr>
  </w:style>
  <w:style w:type="table" w:customStyle="1" w:styleId="a1">
    <w:basedOn w:val="TableNormal"/>
    <w:rsid w:val="0040600D"/>
    <w:tblPr>
      <w:tblStyleRowBandSize w:val="1"/>
      <w:tblStyleColBandSize w:val="1"/>
    </w:tblPr>
  </w:style>
  <w:style w:type="table" w:customStyle="1" w:styleId="a2">
    <w:basedOn w:val="TableNormal"/>
    <w:rsid w:val="0040600D"/>
    <w:tblPr>
      <w:tblStyleRowBandSize w:val="1"/>
      <w:tblStyleColBandSize w:val="1"/>
    </w:tblPr>
  </w:style>
  <w:style w:type="table" w:customStyle="1" w:styleId="a3">
    <w:basedOn w:val="TableNormal"/>
    <w:rsid w:val="0040600D"/>
    <w:tblPr>
      <w:tblStyleRowBandSize w:val="1"/>
      <w:tblStyleColBandSize w:val="1"/>
    </w:tblPr>
  </w:style>
  <w:style w:type="table" w:customStyle="1" w:styleId="a4">
    <w:basedOn w:val="TableNormal"/>
    <w:rsid w:val="0040600D"/>
    <w:tblPr>
      <w:tblStyleRowBandSize w:val="1"/>
      <w:tblStyleColBandSize w:val="1"/>
    </w:tblPr>
  </w:style>
  <w:style w:type="table" w:customStyle="1" w:styleId="a5">
    <w:basedOn w:val="TableNormal"/>
    <w:rsid w:val="0040600D"/>
    <w:tblPr>
      <w:tblStyleRowBandSize w:val="1"/>
      <w:tblStyleColBandSize w:val="1"/>
    </w:tblPr>
  </w:style>
  <w:style w:type="table" w:customStyle="1" w:styleId="a6">
    <w:basedOn w:val="TableNormal"/>
    <w:rsid w:val="0040600D"/>
    <w:tblPr>
      <w:tblStyleRowBandSize w:val="1"/>
      <w:tblStyleColBandSize w:val="1"/>
    </w:tblPr>
  </w:style>
  <w:style w:type="table" w:customStyle="1" w:styleId="a7">
    <w:basedOn w:val="TableNormal"/>
    <w:rsid w:val="0040600D"/>
    <w:tblPr>
      <w:tblStyleRowBandSize w:val="1"/>
      <w:tblStyleColBandSize w:val="1"/>
    </w:tblPr>
  </w:style>
  <w:style w:type="table" w:customStyle="1" w:styleId="a8">
    <w:basedOn w:val="TableNormal"/>
    <w:rsid w:val="0040600D"/>
    <w:tblPr>
      <w:tblStyleRowBandSize w:val="1"/>
      <w:tblStyleColBandSize w:val="1"/>
    </w:tblPr>
  </w:style>
  <w:style w:type="table" w:customStyle="1" w:styleId="a9">
    <w:basedOn w:val="TableNormal"/>
    <w:rsid w:val="0040600D"/>
    <w:tblPr>
      <w:tblStyleRowBandSize w:val="1"/>
      <w:tblStyleColBandSize w:val="1"/>
    </w:tblPr>
  </w:style>
  <w:style w:type="table" w:customStyle="1" w:styleId="aa">
    <w:basedOn w:val="TableNormal"/>
    <w:rsid w:val="0040600D"/>
    <w:tblPr>
      <w:tblStyleRowBandSize w:val="1"/>
      <w:tblStyleColBandSize w:val="1"/>
    </w:tblPr>
  </w:style>
  <w:style w:type="table" w:customStyle="1" w:styleId="ab">
    <w:basedOn w:val="TableNormal"/>
    <w:rsid w:val="0040600D"/>
    <w:tblPr>
      <w:tblStyleRowBandSize w:val="1"/>
      <w:tblStyleColBandSize w:val="1"/>
    </w:tblPr>
  </w:style>
  <w:style w:type="table" w:customStyle="1" w:styleId="ac">
    <w:basedOn w:val="TableNormal"/>
    <w:rsid w:val="0040600D"/>
    <w:tblPr>
      <w:tblStyleRowBandSize w:val="1"/>
      <w:tblStyleColBandSize w:val="1"/>
    </w:tblPr>
  </w:style>
  <w:style w:type="table" w:customStyle="1" w:styleId="ad">
    <w:basedOn w:val="TableNormal"/>
    <w:rsid w:val="0040600D"/>
    <w:tblPr>
      <w:tblStyleRowBandSize w:val="1"/>
      <w:tblStyleColBandSize w:val="1"/>
    </w:tblPr>
  </w:style>
  <w:style w:type="table" w:customStyle="1" w:styleId="ae">
    <w:basedOn w:val="TableNormal"/>
    <w:rsid w:val="0040600D"/>
    <w:tblPr>
      <w:tblStyleRowBandSize w:val="1"/>
      <w:tblStyleColBandSize w:val="1"/>
    </w:tblPr>
  </w:style>
  <w:style w:type="table" w:customStyle="1" w:styleId="af">
    <w:basedOn w:val="TableNormal"/>
    <w:rsid w:val="0040600D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2E33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A50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0AF"/>
  </w:style>
  <w:style w:type="paragraph" w:styleId="Footer">
    <w:name w:val="footer"/>
    <w:basedOn w:val="Normal"/>
    <w:link w:val="FooterChar"/>
    <w:uiPriority w:val="99"/>
    <w:unhideWhenUsed/>
    <w:rsid w:val="00BA50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ationalservice.gov/focus-areas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Ose</dc:creator>
  <cp:lastModifiedBy>Burrows, Anthony</cp:lastModifiedBy>
  <cp:revision>2</cp:revision>
  <cp:lastPrinted>2016-12-06T20:13:00Z</cp:lastPrinted>
  <dcterms:created xsi:type="dcterms:W3CDTF">2017-02-23T13:47:00Z</dcterms:created>
  <dcterms:modified xsi:type="dcterms:W3CDTF">2017-02-23T13:47:00Z</dcterms:modified>
</cp:coreProperties>
</file>